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B567" w14:textId="77777777" w:rsidR="004C540E" w:rsidRPr="00681674" w:rsidRDefault="004C540E" w:rsidP="004C540E">
      <w:pPr>
        <w:keepNext/>
        <w:keepLines/>
        <w:spacing w:line="320" w:lineRule="exact"/>
        <w:jc w:val="center"/>
        <w:rPr>
          <w:b/>
          <w:bCs/>
          <w:color w:val="auto"/>
          <w:sz w:val="32"/>
          <w:szCs w:val="32"/>
          <w:u w:val="single"/>
          <w:rtl/>
        </w:rPr>
      </w:pPr>
      <w:r w:rsidRPr="00681674">
        <w:rPr>
          <w:rFonts w:hint="cs"/>
          <w:b/>
          <w:bCs/>
          <w:color w:val="auto"/>
          <w:sz w:val="32"/>
          <w:szCs w:val="32"/>
          <w:u w:val="single"/>
          <w:rtl/>
        </w:rPr>
        <w:t xml:space="preserve">ועדת השלושה </w:t>
      </w:r>
      <w:r>
        <w:rPr>
          <w:rFonts w:hint="cs"/>
          <w:b/>
          <w:bCs/>
          <w:color w:val="auto"/>
          <w:sz w:val="32"/>
          <w:szCs w:val="32"/>
          <w:u w:val="single"/>
          <w:rtl/>
        </w:rPr>
        <w:t>של עיריית מודיעין עילית</w:t>
      </w:r>
      <w:r w:rsidRPr="00681674">
        <w:rPr>
          <w:rFonts w:hint="cs"/>
          <w:b/>
          <w:bCs/>
          <w:color w:val="auto"/>
          <w:sz w:val="32"/>
          <w:szCs w:val="32"/>
          <w:u w:val="single"/>
          <w:rtl/>
        </w:rPr>
        <w:t xml:space="preserve"> </w:t>
      </w:r>
    </w:p>
    <w:p w14:paraId="3E182B4D" w14:textId="79C79EEE" w:rsidR="004C540E" w:rsidRPr="009D110C" w:rsidRDefault="004C540E" w:rsidP="004C540E">
      <w:pPr>
        <w:keepNext/>
        <w:keepLines/>
        <w:spacing w:line="320" w:lineRule="exact"/>
        <w:jc w:val="center"/>
        <w:rPr>
          <w:rtl/>
        </w:rPr>
      </w:pPr>
      <w:r w:rsidRPr="009D110C">
        <w:rPr>
          <w:rFonts w:hint="cs"/>
          <w:rtl/>
        </w:rPr>
        <w:t xml:space="preserve">פרוטוקול ישיבה מיום  </w:t>
      </w:r>
      <w:r w:rsidR="00B765E6">
        <w:rPr>
          <w:rFonts w:hint="cs"/>
          <w:rtl/>
        </w:rPr>
        <w:t>24</w:t>
      </w:r>
      <w:r>
        <w:rPr>
          <w:rFonts w:hint="cs"/>
          <w:rtl/>
        </w:rPr>
        <w:t>.</w:t>
      </w:r>
      <w:r w:rsidR="00B765E6">
        <w:rPr>
          <w:rFonts w:hint="cs"/>
          <w:rtl/>
        </w:rPr>
        <w:t>07</w:t>
      </w:r>
      <w:r>
        <w:rPr>
          <w:rFonts w:hint="cs"/>
          <w:rtl/>
        </w:rPr>
        <w:t>.</w:t>
      </w:r>
      <w:r w:rsidR="00B765E6">
        <w:rPr>
          <w:rFonts w:hint="cs"/>
          <w:rtl/>
        </w:rPr>
        <w:t>2025</w:t>
      </w:r>
    </w:p>
    <w:p w14:paraId="4041FE9E" w14:textId="77777777" w:rsidR="004C540E" w:rsidRPr="009D110C" w:rsidRDefault="004C540E" w:rsidP="004C540E">
      <w:pPr>
        <w:keepNext/>
        <w:keepLines/>
        <w:spacing w:line="240" w:lineRule="auto"/>
        <w:rPr>
          <w:b/>
          <w:bCs/>
          <w:rtl/>
        </w:rPr>
      </w:pPr>
    </w:p>
    <w:p w14:paraId="3ED1BE7A" w14:textId="4DF69527"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w:t>
      </w:r>
      <w:r w:rsidR="009004E5">
        <w:rPr>
          <w:rFonts w:hint="cs"/>
          <w:rtl/>
        </w:rPr>
        <w:t>מר</w:t>
      </w:r>
      <w:r>
        <w:rPr>
          <w:rFonts w:hint="cs"/>
          <w:rtl/>
        </w:rPr>
        <w:t xml:space="preserve"> יאיר </w:t>
      </w:r>
      <w:proofErr w:type="spellStart"/>
      <w:r>
        <w:rPr>
          <w:rFonts w:hint="cs"/>
          <w:rtl/>
        </w:rPr>
        <w:t>קרשבוים</w:t>
      </w:r>
      <w:proofErr w:type="spellEnd"/>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4C9AB0EB" w:rsidR="004C540E" w:rsidRPr="009D110C" w:rsidRDefault="004C540E" w:rsidP="004C540E">
      <w:pPr>
        <w:keepNext/>
        <w:keepLines/>
        <w:spacing w:line="320" w:lineRule="exact"/>
        <w:rPr>
          <w:rtl/>
        </w:rPr>
      </w:pPr>
      <w:r w:rsidRPr="009D110C">
        <w:rPr>
          <w:rtl/>
        </w:rPr>
        <w:tab/>
      </w:r>
      <w:r>
        <w:rPr>
          <w:rFonts w:hint="cs"/>
          <w:rtl/>
        </w:rPr>
        <w:t xml:space="preserve"> </w:t>
      </w:r>
      <w:r w:rsidR="009004E5">
        <w:rPr>
          <w:rFonts w:hint="cs"/>
          <w:rtl/>
        </w:rPr>
        <w:t>עו"ד</w:t>
      </w:r>
      <w:r>
        <w:rPr>
          <w:rFonts w:hint="cs"/>
          <w:rtl/>
        </w:rPr>
        <w:t xml:space="preserve"> אביבה לוי</w:t>
      </w:r>
      <w:r w:rsidR="009004E5">
        <w:rPr>
          <w:rFonts w:hint="cs"/>
          <w:rtl/>
        </w:rPr>
        <w:t xml:space="preserve"> </w:t>
      </w:r>
      <w:r w:rsidR="009004E5">
        <w:rPr>
          <w:rtl/>
        </w:rPr>
        <w:t>–</w:t>
      </w:r>
      <w:r w:rsidR="009004E5">
        <w:rPr>
          <w:rFonts w:hint="cs"/>
          <w:rtl/>
        </w:rPr>
        <w:t xml:space="preserve"> יועמ"ש</w:t>
      </w:r>
    </w:p>
    <w:p w14:paraId="2852840B" w14:textId="77777777" w:rsidR="004C540E" w:rsidRPr="009D110C" w:rsidRDefault="004C540E" w:rsidP="004C540E">
      <w:pPr>
        <w:keepNext/>
        <w:keepLines/>
        <w:spacing w:line="320" w:lineRule="exact"/>
        <w:rPr>
          <w:rtl/>
        </w:rPr>
      </w:pPr>
    </w:p>
    <w:p w14:paraId="00A05651" w14:textId="0E406531"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 xml:space="preserve">החלטה על התקשרות לשירותי ניהול </w:t>
      </w:r>
      <w:r w:rsidR="009004E5">
        <w:rPr>
          <w:rFonts w:hint="cs"/>
          <w:b/>
          <w:bCs/>
          <w:sz w:val="28"/>
          <w:szCs w:val="28"/>
          <w:u w:val="single"/>
          <w:rtl/>
        </w:rPr>
        <w:t>ו</w:t>
      </w:r>
      <w:r w:rsidRPr="009D110C">
        <w:rPr>
          <w:rFonts w:hint="cs"/>
          <w:b/>
          <w:bCs/>
          <w:sz w:val="28"/>
          <w:szCs w:val="28"/>
          <w:u w:val="single"/>
          <w:rtl/>
        </w:rPr>
        <w:t>פיקוח</w:t>
      </w:r>
    </w:p>
    <w:p w14:paraId="221C1D5F" w14:textId="0779D14F" w:rsidR="004C540E" w:rsidRPr="004C540E" w:rsidRDefault="004C540E" w:rsidP="004C540E">
      <w:pPr>
        <w:keepNext/>
        <w:keepLines/>
        <w:jc w:val="center"/>
        <w:rPr>
          <w:b/>
          <w:bCs/>
          <w:color w:val="000000" w:themeColor="text1"/>
          <w:rtl/>
        </w:rPr>
      </w:pPr>
      <w:r w:rsidRPr="004C540E">
        <w:rPr>
          <w:rFonts w:hint="cs"/>
          <w:b/>
          <w:bCs/>
          <w:color w:val="000000" w:themeColor="text1"/>
          <w:rtl/>
        </w:rPr>
        <w:t xml:space="preserve">מכרז: </w:t>
      </w:r>
      <w:r w:rsidR="009004E5">
        <w:rPr>
          <w:rFonts w:hint="cs"/>
          <w:b/>
          <w:bCs/>
          <w:rtl/>
        </w:rPr>
        <w:t>אספקה, התקנה ואחזקה של ציוד כיבוי אש</w:t>
      </w:r>
      <w:r w:rsidR="009004E5" w:rsidRPr="003E3099">
        <w:rPr>
          <w:rFonts w:hint="cs"/>
          <w:b/>
          <w:bCs/>
          <w:rtl/>
        </w:rPr>
        <w:t xml:space="preserve"> מס': </w:t>
      </w:r>
      <w:proofErr w:type="spellStart"/>
      <w:r w:rsidR="009004E5">
        <w:rPr>
          <w:rFonts w:hint="cs"/>
          <w:b/>
          <w:bCs/>
          <w:rtl/>
        </w:rPr>
        <w:t>מכ</w:t>
      </w:r>
      <w:proofErr w:type="spellEnd"/>
      <w:r w:rsidR="009004E5">
        <w:rPr>
          <w:rFonts w:hint="cs"/>
          <w:b/>
          <w:bCs/>
          <w:rtl/>
        </w:rPr>
        <w:t>/</w:t>
      </w:r>
      <w:r w:rsidR="00832C7F">
        <w:rPr>
          <w:rFonts w:hint="cs"/>
          <w:b/>
          <w:bCs/>
          <w:rtl/>
        </w:rPr>
        <w:t>6/2024</w:t>
      </w:r>
    </w:p>
    <w:p w14:paraId="75DBBF2C" w14:textId="6A9F3615" w:rsidR="004C540E" w:rsidRDefault="009004E5" w:rsidP="00EF207C">
      <w:pPr>
        <w:keepNext/>
        <w:keepLines/>
        <w:rPr>
          <w:color w:val="auto"/>
          <w:rtl/>
        </w:rPr>
      </w:pPr>
      <w:r w:rsidRPr="009004E5">
        <w:rPr>
          <w:color w:val="auto"/>
          <w:rtl/>
        </w:rPr>
        <w:t>הרשות מעוניינת להתקשר עם ספק/ים במכרז שבנדון (להלן: "המכרז"), שפרסמה החברה למשק וכלכלה של השלטון המקומי בע"מ (להלן: "משכ"ל"), אשר לגביו ניתן אישור שר הפנים ושנקבעו זוכים במסגרתו.</w:t>
      </w:r>
    </w:p>
    <w:p w14:paraId="78EAC3AE" w14:textId="77777777" w:rsidR="009004E5" w:rsidRPr="008C26D5" w:rsidRDefault="009004E5" w:rsidP="00EF207C">
      <w:pPr>
        <w:keepNext/>
        <w:keepLines/>
        <w:rPr>
          <w:color w:val="auto"/>
          <w:rtl/>
        </w:rPr>
      </w:pPr>
    </w:p>
    <w:p w14:paraId="556F06DB" w14:textId="77777777" w:rsidR="009004E5" w:rsidRPr="009004E5" w:rsidRDefault="009004E5" w:rsidP="009004E5">
      <w:pPr>
        <w:keepNext/>
        <w:keepLines/>
        <w:rPr>
          <w:color w:val="auto"/>
          <w:rtl/>
        </w:rPr>
      </w:pPr>
      <w:r w:rsidRPr="009004E5">
        <w:rPr>
          <w:color w:val="auto"/>
          <w:rtl/>
        </w:rPr>
        <w:t>לצורך ניהול ופיקוח על ההתקשרות / התקשרויות שתיערך/</w:t>
      </w:r>
      <w:proofErr w:type="spellStart"/>
      <w:r w:rsidRPr="009004E5">
        <w:rPr>
          <w:color w:val="auto"/>
          <w:rtl/>
        </w:rPr>
        <w:t>נה</w:t>
      </w:r>
      <w:proofErr w:type="spellEnd"/>
      <w:r w:rsidRPr="009004E5">
        <w:rPr>
          <w:color w:val="auto"/>
          <w:rtl/>
        </w:rPr>
        <w:t xml:space="preserve"> בין הרשות לבין זכיין / זכיינים במכרז, יש לרשות צורך להתקשר עם נותן שירותי ניהול ופיקוח. הוועדה סבורה כי במקרה זה מירב היתרונות יושגו דווקא בעריכת התקשרות עם החברה לפיתוח משאבי אנוש בשלטון המקומי (1995) בע"מ (להלן: "</w:t>
      </w:r>
      <w:proofErr w:type="spellStart"/>
      <w:r w:rsidRPr="009004E5">
        <w:rPr>
          <w:color w:val="auto"/>
          <w:rtl/>
        </w:rPr>
        <w:t>פמ"א</w:t>
      </w:r>
      <w:proofErr w:type="spellEnd"/>
      <w:r w:rsidRPr="009004E5">
        <w:rPr>
          <w:color w:val="auto"/>
          <w:rtl/>
        </w:rPr>
        <w:t>") לקבלת שירותי ניהול ופיקוח לאור המפורט להלן:</w:t>
      </w:r>
    </w:p>
    <w:p w14:paraId="1F66F127" w14:textId="77777777" w:rsidR="009004E5" w:rsidRPr="009004E5" w:rsidRDefault="009004E5" w:rsidP="009004E5">
      <w:pPr>
        <w:keepNext/>
        <w:keepLines/>
        <w:rPr>
          <w:color w:val="auto"/>
          <w:rtl/>
        </w:rPr>
      </w:pPr>
    </w:p>
    <w:p w14:paraId="0F2B2756" w14:textId="4B3E3232" w:rsidR="004C540E" w:rsidRPr="009D110C" w:rsidRDefault="009004E5" w:rsidP="009004E5">
      <w:pPr>
        <w:keepNext/>
        <w:keepLines/>
        <w:rPr>
          <w:rtl/>
        </w:rPr>
      </w:pPr>
      <w:r w:rsidRPr="009004E5">
        <w:rPr>
          <w:color w:val="auto"/>
          <w:rtl/>
        </w:rPr>
        <w:t xml:space="preserve">נימוקים לבחירת </w:t>
      </w:r>
      <w:proofErr w:type="spellStart"/>
      <w:r w:rsidRPr="009004E5">
        <w:rPr>
          <w:color w:val="auto"/>
          <w:rtl/>
        </w:rPr>
        <w:t>פמ"א</w:t>
      </w:r>
      <w:proofErr w:type="spellEnd"/>
      <w:r w:rsidRPr="009004E5">
        <w:rPr>
          <w:color w:val="auto"/>
          <w:rtl/>
        </w:rPr>
        <w:t>:</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proofErr w:type="spellStart"/>
            <w:r w:rsidRPr="006F6AE8">
              <w:rPr>
                <w:rFonts w:hint="cs"/>
                <w:rtl/>
              </w:rPr>
              <w:t>למשכ"ל</w:t>
            </w:r>
            <w:proofErr w:type="spellEnd"/>
            <w:r w:rsidRPr="006F6AE8">
              <w:rPr>
                <w:rFonts w:hint="cs"/>
                <w:rtl/>
              </w:rPr>
              <w:t xml:space="preserve">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57361FD3"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w:t>
      </w:r>
      <w:r w:rsidR="009004E5" w:rsidRPr="001E31DC">
        <w:rPr>
          <w:rFonts w:hint="cs"/>
          <w:rtl/>
        </w:rPr>
        <w:t xml:space="preserve">כי </w:t>
      </w:r>
      <w:r w:rsidR="009004E5" w:rsidRPr="00E23B44">
        <w:rPr>
          <w:rFonts w:hint="cs"/>
          <w:color w:val="auto"/>
          <w:rtl/>
        </w:rPr>
        <w:t xml:space="preserve">בכפוף ובהתאם לתוצאות הליך בקשת הצעות המחיר, </w:t>
      </w:r>
      <w:r w:rsidR="009004E5" w:rsidRPr="001E31DC">
        <w:rPr>
          <w:rFonts w:hint="cs"/>
          <w:rtl/>
        </w:rPr>
        <w:t xml:space="preserve">הרשות תתקשר עם </w:t>
      </w:r>
      <w:proofErr w:type="spellStart"/>
      <w:r w:rsidR="009004E5">
        <w:rPr>
          <w:rFonts w:hint="cs"/>
          <w:rtl/>
        </w:rPr>
        <w:t>פמ"א</w:t>
      </w:r>
      <w:proofErr w:type="spellEnd"/>
      <w:r w:rsidR="009004E5" w:rsidRPr="001E31DC">
        <w:rPr>
          <w:rFonts w:hint="cs"/>
          <w:rtl/>
        </w:rPr>
        <w:t xml:space="preserve"> </w:t>
      </w:r>
      <w:r w:rsidRPr="00EF207C">
        <w:rPr>
          <w:rFonts w:hint="cs"/>
          <w:rtl/>
        </w:rPr>
        <w:t xml:space="preserve">לשירותי ניהול ופיקוח </w:t>
      </w:r>
      <w:r w:rsidR="009004E5">
        <w:rPr>
          <w:rFonts w:hint="cs"/>
          <w:rtl/>
        </w:rPr>
        <w:t xml:space="preserve">על מתן השירותים על ידי הקבלן / </w:t>
      </w:r>
      <w:r w:rsidR="009004E5" w:rsidRPr="00E6199E">
        <w:rPr>
          <w:rFonts w:hint="cs"/>
          <w:rtl/>
        </w:rPr>
        <w:t>קבלנים במסגרת ההתקשרות שתיערך עם זכיין/זכיינים</w:t>
      </w:r>
      <w:r w:rsidR="009004E5">
        <w:rPr>
          <w:rFonts w:hint="cs"/>
          <w:rtl/>
        </w:rPr>
        <w:t xml:space="preserve"> במכרז </w:t>
      </w:r>
      <w:r w:rsidRPr="00EF207C">
        <w:rPr>
          <w:rFonts w:hint="cs"/>
          <w:rtl/>
        </w:rPr>
        <w:t xml:space="preserve">בהתאם לתקנה 3(15) לתקנות העיריות (מכרזים), </w:t>
      </w:r>
      <w:proofErr w:type="spellStart"/>
      <w:r w:rsidRPr="00EF207C">
        <w:rPr>
          <w:rFonts w:hint="cs"/>
          <w:rtl/>
        </w:rPr>
        <w:t>התשמ"ח</w:t>
      </w:r>
      <w:proofErr w:type="spellEnd"/>
      <w:r w:rsidRPr="00EF207C">
        <w:rPr>
          <w:rFonts w:hint="cs"/>
          <w:rtl/>
        </w:rPr>
        <w:t xml:space="preserve">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7B030E2" w14:textId="526FCA1A" w:rsidR="004C540E" w:rsidRPr="009D110C" w:rsidRDefault="004C540E" w:rsidP="009004E5">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526134BE" w:rsidR="004C540E" w:rsidRPr="009D110C" w:rsidRDefault="004C540E" w:rsidP="00EF207C">
      <w:pPr>
        <w:keepNext/>
        <w:keepLines/>
        <w:rPr>
          <w:rtl/>
        </w:rPr>
      </w:pPr>
      <w:r w:rsidRPr="009D110C">
        <w:rPr>
          <w:rFonts w:hint="cs"/>
          <w:rtl/>
        </w:rPr>
        <w:t xml:space="preserve">למען הסדר הטוב, מבקשת הוועדה כי </w:t>
      </w:r>
      <w:proofErr w:type="spellStart"/>
      <w:r w:rsidR="00B765E6">
        <w:rPr>
          <w:rFonts w:hint="cs"/>
          <w:rtl/>
        </w:rPr>
        <w:t>פמ"א</w:t>
      </w:r>
      <w:proofErr w:type="spellEnd"/>
      <w:r w:rsidRPr="009D110C">
        <w:rPr>
          <w:rFonts w:hint="cs"/>
          <w:rtl/>
        </w:rPr>
        <w:t xml:space="preserve"> תפרסם החלטה זו גם באתר האינטרנט שלה.</w:t>
      </w:r>
    </w:p>
    <w:p w14:paraId="71FD3510" w14:textId="6BBDEC24" w:rsidR="004C540E" w:rsidRPr="009D110C" w:rsidRDefault="004C540E" w:rsidP="00EF207C">
      <w:pPr>
        <w:keepNext/>
        <w:keepLines/>
        <w:rPr>
          <w:rtl/>
        </w:rPr>
      </w:pPr>
      <w:r w:rsidRPr="009D110C">
        <w:rPr>
          <w:rFonts w:hint="cs"/>
          <w:rtl/>
        </w:rPr>
        <w:t xml:space="preserve">החוזה שייחתם בין הרשות לבין </w:t>
      </w:r>
      <w:proofErr w:type="spellStart"/>
      <w:r w:rsidR="00B765E6">
        <w:rPr>
          <w:rFonts w:hint="cs"/>
          <w:rtl/>
        </w:rPr>
        <w:t>פמ"א</w:t>
      </w:r>
      <w:proofErr w:type="spellEnd"/>
      <w:r w:rsidRPr="009D110C">
        <w:rPr>
          <w:rFonts w:hint="cs"/>
          <w:rtl/>
        </w:rPr>
        <w:t xml:space="preserve"> יפורסם באתר האינטרנט של הרשות לא יאוחר מ-7 ימי עבודה מיום כריתתו.</w:t>
      </w:r>
    </w:p>
    <w:p w14:paraId="32F2BF33" w14:textId="76EEBE1E" w:rsidR="004C540E" w:rsidRDefault="004C540E" w:rsidP="004C540E">
      <w:pPr>
        <w:keepNext/>
        <w:keepLines/>
        <w:spacing w:line="320" w:lineRule="exact"/>
        <w:jc w:val="center"/>
        <w:rPr>
          <w:rtl/>
        </w:rPr>
      </w:pPr>
      <w:r w:rsidRPr="009D110C">
        <w:rPr>
          <w:rFonts w:hint="cs"/>
          <w:rtl/>
        </w:rPr>
        <w:t>על החתום</w:t>
      </w:r>
    </w:p>
    <w:p w14:paraId="40008D6B" w14:textId="4EA5E5C4" w:rsidR="004C540E" w:rsidRDefault="004C540E" w:rsidP="004C540E">
      <w:pPr>
        <w:keepNext/>
        <w:keepLines/>
        <w:spacing w:line="320" w:lineRule="exact"/>
        <w:jc w:val="center"/>
        <w:rPr>
          <w:rtl/>
        </w:rPr>
      </w:pPr>
    </w:p>
    <w:p w14:paraId="1B9E57A2" w14:textId="35B53665" w:rsidR="004C540E" w:rsidRDefault="004C540E" w:rsidP="004C540E">
      <w:pPr>
        <w:rPr>
          <w:rtl/>
        </w:rPr>
      </w:pPr>
      <w:r>
        <w:rPr>
          <w:rtl/>
        </w:rPr>
        <w:t xml:space="preserve">______________ </w:t>
      </w:r>
      <w:r>
        <w:rPr>
          <w:rtl/>
        </w:rPr>
        <w:tab/>
      </w:r>
      <w:r>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Pr>
          <w:rtl/>
        </w:rPr>
        <w:t xml:space="preserve">יאיר קירשבוים </w:t>
      </w:r>
      <w:r>
        <w:rPr>
          <w:rtl/>
        </w:rPr>
        <w:tab/>
        <w:t xml:space="preserve">                                    אבי עדן                                                 אביבה לוי</w:t>
      </w:r>
    </w:p>
    <w:p w14:paraId="52E4FE13" w14:textId="56AAF172" w:rsidR="003D5C8E" w:rsidRDefault="004C540E" w:rsidP="00EF207C">
      <w:pPr>
        <w:rPr>
          <w:rtl/>
        </w:rPr>
      </w:pPr>
      <w:r>
        <w:rPr>
          <w:rFonts w:hint="cs"/>
          <w:rtl/>
        </w:rPr>
        <w:t xml:space="preserve">     </w:t>
      </w:r>
      <w:r>
        <w:rPr>
          <w:rtl/>
        </w:rPr>
        <w:t xml:space="preserve"> מנכ"ל                                                 גזבר                                               </w:t>
      </w:r>
      <w:r>
        <w:rPr>
          <w:rFonts w:hint="cs"/>
          <w:rtl/>
        </w:rPr>
        <w:t xml:space="preserve"> </w:t>
      </w:r>
      <w:r>
        <w:rPr>
          <w:rtl/>
        </w:rPr>
        <w:t xml:space="preserve">  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2CEA" w14:textId="77777777" w:rsidR="00EF0F20" w:rsidRDefault="00EF0F20" w:rsidP="00386F2F">
      <w:pPr>
        <w:spacing w:line="240" w:lineRule="auto"/>
      </w:pPr>
      <w:r>
        <w:separator/>
      </w:r>
    </w:p>
  </w:endnote>
  <w:endnote w:type="continuationSeparator" w:id="0">
    <w:p w14:paraId="5990FD72" w14:textId="77777777" w:rsidR="00EF0F20" w:rsidRDefault="00EF0F20"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09CA" w14:textId="77777777" w:rsidR="00EF0F20" w:rsidRDefault="00EF0F20" w:rsidP="00386F2F">
      <w:pPr>
        <w:spacing w:line="240" w:lineRule="auto"/>
      </w:pPr>
      <w:r>
        <w:separator/>
      </w:r>
    </w:p>
  </w:footnote>
  <w:footnote w:type="continuationSeparator" w:id="0">
    <w:p w14:paraId="089064CD" w14:textId="77777777" w:rsidR="00EF0F20" w:rsidRDefault="00EF0F20"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3AFB97D0">
              <wp:simplePos x="0" y="0"/>
              <wp:positionH relativeFrom="column">
                <wp:posOffset>-800100</wp:posOffset>
              </wp:positionH>
              <wp:positionV relativeFrom="paragraph">
                <wp:posOffset>64135</wp:posOffset>
              </wp:positionV>
              <wp:extent cx="6858000" cy="9491345"/>
              <wp:effectExtent l="9525" t="6985" r="9525" b="7620"/>
              <wp:wrapNone/>
              <wp:docPr id="2" name="AutoShape 2" descr="מסגרת של הדף"/>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0938D" id="AutoShape 2" o:spid="_x0000_s1026" alt="מסגרת של הדף"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43380"/>
    <w:rsid w:val="000830DD"/>
    <w:rsid w:val="000C758B"/>
    <w:rsid w:val="000F6DCB"/>
    <w:rsid w:val="00164C71"/>
    <w:rsid w:val="00183D91"/>
    <w:rsid w:val="001D191F"/>
    <w:rsid w:val="001F1B97"/>
    <w:rsid w:val="00207D28"/>
    <w:rsid w:val="0030146A"/>
    <w:rsid w:val="003403FD"/>
    <w:rsid w:val="00370D99"/>
    <w:rsid w:val="00386F2F"/>
    <w:rsid w:val="003D5C8E"/>
    <w:rsid w:val="00446995"/>
    <w:rsid w:val="00493F82"/>
    <w:rsid w:val="004C540E"/>
    <w:rsid w:val="004E22E2"/>
    <w:rsid w:val="005223B1"/>
    <w:rsid w:val="0053431C"/>
    <w:rsid w:val="00564F61"/>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91"/>
    <w:rsid w:val="007F41C3"/>
    <w:rsid w:val="00832C7F"/>
    <w:rsid w:val="00863B2E"/>
    <w:rsid w:val="008765BA"/>
    <w:rsid w:val="008D6E2E"/>
    <w:rsid w:val="008E18AD"/>
    <w:rsid w:val="009004E5"/>
    <w:rsid w:val="00922B51"/>
    <w:rsid w:val="00982D43"/>
    <w:rsid w:val="009C28BC"/>
    <w:rsid w:val="009E613D"/>
    <w:rsid w:val="00A006D1"/>
    <w:rsid w:val="00A110C8"/>
    <w:rsid w:val="00A2598A"/>
    <w:rsid w:val="00A55E7E"/>
    <w:rsid w:val="00A847DE"/>
    <w:rsid w:val="00AC7AA1"/>
    <w:rsid w:val="00AD3A21"/>
    <w:rsid w:val="00B00A03"/>
    <w:rsid w:val="00B765E6"/>
    <w:rsid w:val="00BA0B7E"/>
    <w:rsid w:val="00BD490F"/>
    <w:rsid w:val="00C56AE9"/>
    <w:rsid w:val="00CA28EF"/>
    <w:rsid w:val="00CA44C8"/>
    <w:rsid w:val="00CC597C"/>
    <w:rsid w:val="00CF44EB"/>
    <w:rsid w:val="00D45DE4"/>
    <w:rsid w:val="00D511A5"/>
    <w:rsid w:val="00DB7260"/>
    <w:rsid w:val="00DE54E9"/>
    <w:rsid w:val="00DF271A"/>
    <w:rsid w:val="00E41C02"/>
    <w:rsid w:val="00EC206A"/>
    <w:rsid w:val="00EC504A"/>
    <w:rsid w:val="00EF0F20"/>
    <w:rsid w:val="00EF207C"/>
    <w:rsid w:val="00F32053"/>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1585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לאספקה, התקנה ואחזקה של ציוד כיבוי אש מכ/6/2024</dc:title>
  <dc:subject>ועדת שלושה להתקשרות עם משכל</dc:subject>
  <dc:creator>auvah</dc:creator>
  <cp:keywords/>
  <dc:description/>
  <cp:lastModifiedBy>דינה שפילר</cp:lastModifiedBy>
  <cp:revision>2</cp:revision>
  <cp:lastPrinted>2016-11-29T13:28:00Z</cp:lastPrinted>
  <dcterms:created xsi:type="dcterms:W3CDTF">2025-08-05T09:03:00Z</dcterms:created>
  <dcterms:modified xsi:type="dcterms:W3CDTF">2025-08-05T09:03:00Z</dcterms:modified>
</cp:coreProperties>
</file>