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E01D" w14:textId="2FD578FD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52D971D1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42472C">
        <w:rPr>
          <w:rFonts w:ascii="David" w:hAnsi="David" w:cs="David" w:hint="cs"/>
          <w:b/>
          <w:bCs/>
          <w:sz w:val="24"/>
          <w:szCs w:val="24"/>
          <w:rtl/>
        </w:rPr>
        <w:t>1/2025</w:t>
      </w:r>
    </w:p>
    <w:p w14:paraId="3194A44D" w14:textId="0CAB8C11" w:rsidR="00E8381F" w:rsidRDefault="00C720F3" w:rsidP="007E6630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E8381F">
        <w:rPr>
          <w:rFonts w:ascii="Times New Roman" w:hAnsi="Times New Roman" w:cs="David" w:hint="eastAsia"/>
          <w:b/>
          <w:bCs/>
          <w:sz w:val="24"/>
          <w:szCs w:val="24"/>
          <w:rtl/>
        </w:rPr>
        <w:t>‏‏</w:t>
      </w:r>
      <w:r w:rsidR="007E6630">
        <w:rPr>
          <w:rFonts w:ascii="David" w:hAnsi="David" w:cs="David" w:hint="eastAsia"/>
          <w:b/>
          <w:bCs/>
          <w:sz w:val="24"/>
          <w:szCs w:val="24"/>
          <w:rtl/>
        </w:rPr>
        <w:t>‏</w:t>
      </w:r>
      <w:r w:rsidR="00F41A66">
        <w:rPr>
          <w:rFonts w:ascii="David" w:hAnsi="David" w:cs="David" w:hint="cs"/>
          <w:b/>
          <w:bCs/>
          <w:sz w:val="24"/>
          <w:szCs w:val="24"/>
          <w:rtl/>
        </w:rPr>
        <w:t>כ"</w:t>
      </w:r>
      <w:r w:rsidR="0042472C">
        <w:rPr>
          <w:rFonts w:ascii="David" w:hAnsi="David" w:cs="David" w:hint="cs"/>
          <w:b/>
          <w:bCs/>
          <w:sz w:val="24"/>
          <w:szCs w:val="24"/>
          <w:rtl/>
        </w:rPr>
        <w:t>ט</w:t>
      </w:r>
      <w:r w:rsidR="007E663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42472C">
        <w:rPr>
          <w:rFonts w:ascii="David" w:hAnsi="David" w:cs="David" w:hint="cs"/>
          <w:b/>
          <w:bCs/>
          <w:sz w:val="24"/>
          <w:szCs w:val="24"/>
          <w:rtl/>
        </w:rPr>
        <w:t>טבת</w:t>
      </w:r>
      <w:r w:rsidR="007E6630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>תשפ"</w:t>
      </w:r>
      <w:r w:rsidR="000106C4">
        <w:rPr>
          <w:rFonts w:ascii="Times New Roman" w:hAnsi="Times New Roman" w:cs="David" w:hint="cs"/>
          <w:b/>
          <w:bCs/>
          <w:sz w:val="24"/>
          <w:szCs w:val="24"/>
          <w:rtl/>
        </w:rPr>
        <w:t>ה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2472C">
        <w:rPr>
          <w:rFonts w:ascii="Times New Roman" w:hAnsi="Times New Roman" w:cs="David" w:hint="cs"/>
          <w:b/>
          <w:bCs/>
          <w:sz w:val="24"/>
          <w:szCs w:val="24"/>
          <w:rtl/>
        </w:rPr>
        <w:t>29.01.2025</w:t>
      </w:r>
    </w:p>
    <w:p w14:paraId="010AC939" w14:textId="77777777" w:rsidR="008262FE" w:rsidRDefault="008262FE" w:rsidP="007E6630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68D9A7E4" w:rsidR="00C720F3" w:rsidRPr="00C720F3" w:rsidRDefault="00C720F3" w:rsidP="007E6630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1325B8E9" w14:textId="77777777" w:rsidR="007E6630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76672980" w14:textId="761DBD15" w:rsidR="007E6630" w:rsidRPr="007E6630" w:rsidRDefault="007E6630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גב' </w:t>
      </w:r>
      <w:r w:rsidR="0042472C">
        <w:rPr>
          <w:rFonts w:ascii="Times New Roman" w:hAnsi="Times New Roman" w:cs="David" w:hint="cs"/>
          <w:sz w:val="24"/>
          <w:szCs w:val="24"/>
          <w:rtl/>
        </w:rPr>
        <w:t xml:space="preserve">רעות גרשון - </w:t>
      </w:r>
      <w:r>
        <w:rPr>
          <w:rFonts w:ascii="Times New Roman" w:hAnsi="Times New Roman" w:cs="David" w:hint="cs"/>
          <w:sz w:val="24"/>
          <w:szCs w:val="24"/>
          <w:rtl/>
        </w:rPr>
        <w:t>מ"מ מנהלת אגף משאבים ו</w:t>
      </w:r>
      <w:r w:rsidRPr="004465EF">
        <w:rPr>
          <w:rFonts w:ascii="Times New Roman" w:hAnsi="Times New Roman" w:cs="David" w:hint="cs"/>
          <w:sz w:val="24"/>
          <w:szCs w:val="24"/>
          <w:rtl/>
        </w:rPr>
        <w:t>התקשרויות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5C52A567" w14:textId="4542B59D" w:rsidR="00C720F3" w:rsidRPr="00C720F3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6EFB7DE0" w14:textId="77777777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735253F7" w14:textId="41116C0B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על סדר היום:</w:t>
      </w:r>
    </w:p>
    <w:p w14:paraId="48E1A7CB" w14:textId="77777777" w:rsidR="0042472C" w:rsidRDefault="0042472C" w:rsidP="0042472C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11C01A8C" w14:textId="77777777" w:rsidR="0042472C" w:rsidRDefault="0042472C" w:rsidP="0042472C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1DC331C5" w14:textId="77777777" w:rsidR="0042472C" w:rsidRP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36FF9291" w14:textId="4118E692" w:rsidR="00E8381F" w:rsidRPr="00E8381F" w:rsidRDefault="00E8381F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42472C">
      <w:pPr>
        <w:numPr>
          <w:ilvl w:val="0"/>
          <w:numId w:val="21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4946" w:type="pct"/>
        <w:tblInd w:w="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2058"/>
        <w:gridCol w:w="1984"/>
        <w:gridCol w:w="861"/>
        <w:gridCol w:w="1690"/>
      </w:tblGrid>
      <w:tr w:rsidR="003D71C0" w:rsidRPr="0042472C" w14:paraId="257C7C88" w14:textId="77777777" w:rsidTr="0042472C">
        <w:trPr>
          <w:trHeight w:val="11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42472C" w:rsidRDefault="001024B7" w:rsidP="007E6630">
            <w:pPr>
              <w:spacing w:after="0" w:line="360" w:lineRule="auto"/>
              <w:ind w:left="55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8B9" w14:textId="77777777" w:rsid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אישור/</w:t>
            </w:r>
          </w:p>
          <w:p w14:paraId="09DF8D0F" w14:textId="16D93A82" w:rsidR="001024B7" w:rsidRP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דחייה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42472C" w:rsidRPr="0042472C" w14:paraId="32343E73" w14:textId="77777777" w:rsidTr="0042472C">
        <w:trPr>
          <w:trHeight w:val="11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63419F70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רות בודה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2E0" w14:textId="5FB3DCDD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9AD" w14:textId="634342BD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4697408F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3394870A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42472C" w:rsidRPr="0042472C" w14:paraId="40D45D0B" w14:textId="77777777" w:rsidTr="0042472C">
        <w:trPr>
          <w:trHeight w:val="11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503A" w14:textId="6CF77938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2472C">
              <w:rPr>
                <w:rFonts w:ascii="David" w:hAnsi="David" w:cs="David"/>
                <w:sz w:val="24"/>
                <w:szCs w:val="24"/>
                <w:rtl/>
              </w:rPr>
              <w:t>סוטובסקי</w:t>
            </w:r>
            <w:proofErr w:type="spellEnd"/>
            <w:r w:rsidRPr="0042472C">
              <w:rPr>
                <w:rFonts w:ascii="David" w:hAnsi="David" w:cs="David"/>
                <w:sz w:val="24"/>
                <w:szCs w:val="24"/>
                <w:rtl/>
              </w:rPr>
              <w:t xml:space="preserve"> מערכות אזרחיות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645" w14:textId="2600BD06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7656" w14:textId="5E593A1C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מהנדסי מים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640D6359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D94" w14:textId="70A92991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42472C" w:rsidRPr="0042472C" w14:paraId="3C0AAB15" w14:textId="77777777" w:rsidTr="0042472C">
        <w:trPr>
          <w:trHeight w:val="11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4A04" w14:textId="724844A0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א.מ תבל הנדסה בע"מ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6519" w14:textId="4403305E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74C9" w14:textId="0599D0BF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ניהול ופיקוח פרויקטים</w:t>
            </w:r>
            <w:r w:rsidRPr="0042472C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A82" w14:textId="3F2F46E2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4C81" w14:textId="13BF17C8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42472C" w:rsidRPr="0042472C" w14:paraId="7FB89CFD" w14:textId="77777777" w:rsidTr="0042472C">
        <w:trPr>
          <w:trHeight w:val="11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D4A7" w14:textId="4288493D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א.מ תבל הנדסה בע"מ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EBDB" w14:textId="06907517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D43A" w14:textId="700FC2A1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כמאי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A3A" w14:textId="250018AB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F602" w14:textId="0FBF16C4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42472C" w:rsidRPr="0042472C" w14:paraId="6D8F2C27" w14:textId="77777777" w:rsidTr="0042472C">
        <w:trPr>
          <w:trHeight w:val="11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F50E" w14:textId="54DB229E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אברהם קופרמן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FDAB" w14:textId="2CE26C6C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4BF6" w14:textId="3FF335E2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2472C">
              <w:rPr>
                <w:rFonts w:ascii="David" w:hAnsi="David" w:cs="David"/>
                <w:sz w:val="24"/>
                <w:szCs w:val="24"/>
                <w:rtl/>
              </w:rPr>
              <w:t>קונסטרוקטור</w:t>
            </w:r>
            <w:proofErr w:type="spellEnd"/>
            <w:r w:rsidRPr="0042472C">
              <w:rPr>
                <w:rFonts w:ascii="David" w:hAnsi="David" w:cs="David"/>
                <w:sz w:val="24"/>
                <w:szCs w:val="24"/>
                <w:rtl/>
              </w:rPr>
              <w:t xml:space="preserve"> - מהנדס בניין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0BF" w14:textId="30D90AFC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E198" w14:textId="11873EB7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6907F3BB" w14:textId="77777777" w:rsidR="0042472C" w:rsidRDefault="0042472C" w:rsidP="0042472C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333CDCB4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D1A22DE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6557EC10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46D75318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6308EF85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3D303AB6" w14:textId="4D9B89F9" w:rsidR="0042472C" w:rsidRDefault="0042472C" w:rsidP="0042472C">
      <w:pPr>
        <w:numPr>
          <w:ilvl w:val="0"/>
          <w:numId w:val="21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42472C">
        <w:rPr>
          <w:rFonts w:ascii="David" w:hAnsi="David" w:cs="David"/>
          <w:b/>
          <w:bCs/>
          <w:sz w:val="24"/>
          <w:szCs w:val="24"/>
          <w:rtl/>
        </w:rPr>
        <w:lastRenderedPageBreak/>
        <w:t>אישור מדריכים/ מאבחנים/ יועצים ונותני שירותים בתחום הפסיכולוגי למחלקת השרות הפסיכולוגי החינוכי/ בתחום אבחון, הדרכה וטיפול למחלקת רווחה – הרחבת המאגר</w:t>
      </w:r>
    </w:p>
    <w:p w14:paraId="3FB54D32" w14:textId="77777777" w:rsidR="0042472C" w:rsidRPr="0042472C" w:rsidRDefault="0042472C" w:rsidP="0042472C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5205" w:type="pct"/>
        <w:tblInd w:w="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637"/>
        <w:gridCol w:w="2304"/>
        <w:gridCol w:w="1307"/>
        <w:gridCol w:w="1556"/>
      </w:tblGrid>
      <w:tr w:rsidR="0042472C" w:rsidRPr="0042472C" w14:paraId="3FD14C42" w14:textId="77777777" w:rsidTr="0042472C">
        <w:trPr>
          <w:trHeight w:val="113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38C7" w14:textId="77777777" w:rsidR="0042472C" w:rsidRPr="0042472C" w:rsidRDefault="0042472C" w:rsidP="0042472C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F8E5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316C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9F7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אישור/</w:t>
            </w:r>
          </w:p>
          <w:p w14:paraId="2458E1DA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דחייה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2B43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42472C" w:rsidRPr="0042472C" w14:paraId="222DD955" w14:textId="77777777" w:rsidTr="00C04CD1">
        <w:trPr>
          <w:trHeight w:val="113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87D2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 xml:space="preserve">אריאלה </w:t>
            </w:r>
            <w:proofErr w:type="spellStart"/>
            <w:r w:rsidRPr="0042472C">
              <w:rPr>
                <w:rFonts w:ascii="David" w:hAnsi="David" w:cs="David"/>
                <w:sz w:val="24"/>
                <w:szCs w:val="24"/>
                <w:rtl/>
              </w:rPr>
              <w:t>ביליצקי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6DD6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8FF8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הדרכת עו"ס ותחומים מיוחדים באגף הרווחה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625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863F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42472C" w:rsidRPr="0042472C" w14:paraId="5A12F1B1" w14:textId="77777777" w:rsidTr="00C04CD1">
        <w:trPr>
          <w:trHeight w:val="113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5F6E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 xml:space="preserve">אריאלה </w:t>
            </w:r>
            <w:proofErr w:type="spellStart"/>
            <w:r w:rsidRPr="0042472C">
              <w:rPr>
                <w:rFonts w:ascii="David" w:hAnsi="David" w:cs="David"/>
                <w:sz w:val="24"/>
                <w:szCs w:val="24"/>
                <w:rtl/>
              </w:rPr>
              <w:t>ביליצקי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D8B9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2246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הדרכה בתחומים מיוחדים להם נדרשת ממוחיות ייחודית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4F1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4F68" w14:textId="77777777" w:rsidR="0042472C" w:rsidRPr="0042472C" w:rsidRDefault="0042472C" w:rsidP="00C04CD1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5FAD0E19" w14:textId="77777777" w:rsidR="0042472C" w:rsidRDefault="0042472C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CD4D033" w14:textId="77777777" w:rsidR="0042472C" w:rsidRDefault="0042472C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0D02BB36" w:rsidR="00B93A46" w:rsidRDefault="00B93A46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79E5553D" w14:textId="77777777" w:rsidR="005F35AF" w:rsidRDefault="005F35AF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709"/>
        <w:gridCol w:w="1984"/>
        <w:gridCol w:w="709"/>
        <w:gridCol w:w="3689"/>
      </w:tblGrid>
      <w:tr w:rsidR="00B93A46" w14:paraId="132E0D85" w14:textId="77777777" w:rsidTr="00F41A66">
        <w:trPr>
          <w:trHeight w:val="263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F41A66">
        <w:trPr>
          <w:trHeight w:val="1001"/>
        </w:trPr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05654" w14:textId="41DC5D2F" w:rsidR="00F41A66" w:rsidRDefault="0042472C" w:rsidP="0042472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רעות גרשון</w:t>
            </w:r>
          </w:p>
          <w:p w14:paraId="39E4E511" w14:textId="11A936C3" w:rsidR="00B93A46" w:rsidRDefault="007E6630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</w:tc>
      </w:tr>
    </w:tbl>
    <w:p w14:paraId="647347B9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7520BAC6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</w:p>
    <w:p w14:paraId="54D2EA2E" w14:textId="359375F3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7E663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3D71C0">
      <w:headerReference w:type="default" r:id="rId8"/>
      <w:footerReference w:type="default" r:id="rId9"/>
      <w:pgSz w:w="11906" w:h="16838" w:code="9"/>
      <w:pgMar w:top="-2269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40B7" w14:textId="77777777" w:rsidR="003A2E89" w:rsidRDefault="003A2E89" w:rsidP="00386F2F">
      <w:pPr>
        <w:spacing w:after="0" w:line="240" w:lineRule="auto"/>
      </w:pPr>
      <w:r>
        <w:separator/>
      </w:r>
    </w:p>
  </w:endnote>
  <w:endnote w:type="continuationSeparator" w:id="0">
    <w:p w14:paraId="7756E45C" w14:textId="77777777" w:rsidR="003A2E89" w:rsidRDefault="003A2E89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6EF5" w14:textId="77777777" w:rsidR="003A2E89" w:rsidRDefault="003A2E89" w:rsidP="00386F2F">
      <w:pPr>
        <w:spacing w:after="0" w:line="240" w:lineRule="auto"/>
      </w:pPr>
      <w:r>
        <w:separator/>
      </w:r>
    </w:p>
  </w:footnote>
  <w:footnote w:type="continuationSeparator" w:id="0">
    <w:p w14:paraId="40A45DAE" w14:textId="77777777" w:rsidR="003A2E89" w:rsidRDefault="003A2E89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525669475" name="תמונה 152566947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5B69FAFE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00D74E1" id="AutoShape 2" o:spid="_x0000_s1026" alt="&quot;&quot;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931"/>
    <w:multiLevelType w:val="hybridMultilevel"/>
    <w:tmpl w:val="9D86A70C"/>
    <w:lvl w:ilvl="0" w:tplc="C5B665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8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25698"/>
    <w:multiLevelType w:val="hybridMultilevel"/>
    <w:tmpl w:val="9D86A70C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5"/>
  </w:num>
  <w:num w:numId="3" w16cid:durableId="1693798961">
    <w:abstractNumId w:val="18"/>
  </w:num>
  <w:num w:numId="4" w16cid:durableId="437069122">
    <w:abstractNumId w:val="19"/>
  </w:num>
  <w:num w:numId="5" w16cid:durableId="608316941">
    <w:abstractNumId w:val="14"/>
  </w:num>
  <w:num w:numId="6" w16cid:durableId="5837637">
    <w:abstractNumId w:val="13"/>
  </w:num>
  <w:num w:numId="7" w16cid:durableId="1465387879">
    <w:abstractNumId w:val="7"/>
  </w:num>
  <w:num w:numId="8" w16cid:durableId="815225865">
    <w:abstractNumId w:val="15"/>
  </w:num>
  <w:num w:numId="9" w16cid:durableId="551430674">
    <w:abstractNumId w:val="8"/>
  </w:num>
  <w:num w:numId="10" w16cid:durableId="1472551270">
    <w:abstractNumId w:val="6"/>
  </w:num>
  <w:num w:numId="11" w16cid:durableId="2110930592">
    <w:abstractNumId w:val="9"/>
  </w:num>
  <w:num w:numId="12" w16cid:durableId="122500737">
    <w:abstractNumId w:val="17"/>
  </w:num>
  <w:num w:numId="13" w16cid:durableId="954747538">
    <w:abstractNumId w:val="3"/>
  </w:num>
  <w:num w:numId="14" w16cid:durableId="868418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6"/>
  </w:num>
  <w:num w:numId="16" w16cid:durableId="869532800">
    <w:abstractNumId w:val="4"/>
  </w:num>
  <w:num w:numId="17" w16cid:durableId="186675381">
    <w:abstractNumId w:val="10"/>
  </w:num>
  <w:num w:numId="18" w16cid:durableId="429660540">
    <w:abstractNumId w:val="2"/>
  </w:num>
  <w:num w:numId="19" w16cid:durableId="924537775">
    <w:abstractNumId w:val="11"/>
  </w:num>
  <w:num w:numId="20" w16cid:durableId="646477429">
    <w:abstractNumId w:val="1"/>
  </w:num>
  <w:num w:numId="21" w16cid:durableId="1143035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106C4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0D26"/>
    <w:rsid w:val="0010164D"/>
    <w:rsid w:val="001024B7"/>
    <w:rsid w:val="001038D3"/>
    <w:rsid w:val="001129CE"/>
    <w:rsid w:val="0015025D"/>
    <w:rsid w:val="00154A0F"/>
    <w:rsid w:val="00156314"/>
    <w:rsid w:val="00157EFC"/>
    <w:rsid w:val="00163055"/>
    <w:rsid w:val="00183D91"/>
    <w:rsid w:val="00185B7F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52E06"/>
    <w:rsid w:val="00266CDF"/>
    <w:rsid w:val="00277808"/>
    <w:rsid w:val="002828A8"/>
    <w:rsid w:val="002958E9"/>
    <w:rsid w:val="002B684B"/>
    <w:rsid w:val="002C2889"/>
    <w:rsid w:val="002D235B"/>
    <w:rsid w:val="002D6A3B"/>
    <w:rsid w:val="002E0434"/>
    <w:rsid w:val="002F6222"/>
    <w:rsid w:val="002F6A70"/>
    <w:rsid w:val="00324EA5"/>
    <w:rsid w:val="00340462"/>
    <w:rsid w:val="0034748F"/>
    <w:rsid w:val="00350670"/>
    <w:rsid w:val="00370D99"/>
    <w:rsid w:val="00386F2F"/>
    <w:rsid w:val="00396917"/>
    <w:rsid w:val="003A2E89"/>
    <w:rsid w:val="003C46CF"/>
    <w:rsid w:val="003D5C8E"/>
    <w:rsid w:val="003D71C0"/>
    <w:rsid w:val="003E2BB3"/>
    <w:rsid w:val="003E7DD6"/>
    <w:rsid w:val="003F2B5C"/>
    <w:rsid w:val="0042472C"/>
    <w:rsid w:val="00442D0D"/>
    <w:rsid w:val="00445E4E"/>
    <w:rsid w:val="00446995"/>
    <w:rsid w:val="004540C4"/>
    <w:rsid w:val="00455A1A"/>
    <w:rsid w:val="00465AC8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35AF"/>
    <w:rsid w:val="005F7898"/>
    <w:rsid w:val="00610A92"/>
    <w:rsid w:val="00611289"/>
    <w:rsid w:val="006166F0"/>
    <w:rsid w:val="00621800"/>
    <w:rsid w:val="00623AB7"/>
    <w:rsid w:val="006260F6"/>
    <w:rsid w:val="00636346"/>
    <w:rsid w:val="00636B55"/>
    <w:rsid w:val="00640275"/>
    <w:rsid w:val="0064749E"/>
    <w:rsid w:val="00651785"/>
    <w:rsid w:val="0067216A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2307A"/>
    <w:rsid w:val="0072325C"/>
    <w:rsid w:val="00761B52"/>
    <w:rsid w:val="00762A8E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6630"/>
    <w:rsid w:val="007E7C09"/>
    <w:rsid w:val="007F3E30"/>
    <w:rsid w:val="007F41C3"/>
    <w:rsid w:val="008262FE"/>
    <w:rsid w:val="008367A3"/>
    <w:rsid w:val="0086335F"/>
    <w:rsid w:val="00870C1F"/>
    <w:rsid w:val="008765BA"/>
    <w:rsid w:val="008B091C"/>
    <w:rsid w:val="008B2210"/>
    <w:rsid w:val="008B2E95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07698"/>
    <w:rsid w:val="00A16744"/>
    <w:rsid w:val="00A41C08"/>
    <w:rsid w:val="00A46CAF"/>
    <w:rsid w:val="00A55E7E"/>
    <w:rsid w:val="00A566B4"/>
    <w:rsid w:val="00A60A77"/>
    <w:rsid w:val="00A6412A"/>
    <w:rsid w:val="00A847DE"/>
    <w:rsid w:val="00AB4F16"/>
    <w:rsid w:val="00AB75D8"/>
    <w:rsid w:val="00AC3372"/>
    <w:rsid w:val="00AD1108"/>
    <w:rsid w:val="00AD3A21"/>
    <w:rsid w:val="00AF20FA"/>
    <w:rsid w:val="00B00A03"/>
    <w:rsid w:val="00B30D4D"/>
    <w:rsid w:val="00B3331A"/>
    <w:rsid w:val="00B47CE2"/>
    <w:rsid w:val="00B51497"/>
    <w:rsid w:val="00B54205"/>
    <w:rsid w:val="00B74FA1"/>
    <w:rsid w:val="00B93A46"/>
    <w:rsid w:val="00B95FDF"/>
    <w:rsid w:val="00BA0B5C"/>
    <w:rsid w:val="00BA0B7E"/>
    <w:rsid w:val="00BC3AC5"/>
    <w:rsid w:val="00BD2FE9"/>
    <w:rsid w:val="00BD490F"/>
    <w:rsid w:val="00BE047B"/>
    <w:rsid w:val="00C007B1"/>
    <w:rsid w:val="00C03BF1"/>
    <w:rsid w:val="00C20105"/>
    <w:rsid w:val="00C306F1"/>
    <w:rsid w:val="00C40F7B"/>
    <w:rsid w:val="00C52BAF"/>
    <w:rsid w:val="00C56AE9"/>
    <w:rsid w:val="00C6591D"/>
    <w:rsid w:val="00C71EAE"/>
    <w:rsid w:val="00C720F3"/>
    <w:rsid w:val="00C83FFE"/>
    <w:rsid w:val="00C858EA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45BAE"/>
    <w:rsid w:val="00E568BD"/>
    <w:rsid w:val="00E577D8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41A66"/>
    <w:rsid w:val="00F539E5"/>
    <w:rsid w:val="00F77745"/>
    <w:rsid w:val="00F8148F"/>
    <w:rsid w:val="00F81D32"/>
    <w:rsid w:val="00F85BA1"/>
    <w:rsid w:val="00F93A3D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17/2024</vt:lpstr>
    </vt:vector>
  </TitlesOfParts>
  <Company>מ.מ. מודיעין עילית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1/2025</dc:title>
  <dc:subject>ועדת התקשרויות</dc:subject>
  <dc:creator>Aviva Levi | CBA LAW FIRM aviva@cbalaw.co.il</dc:creator>
  <cp:keywords>אהובי הרשלר</cp:keywords>
  <dc:description/>
  <cp:lastModifiedBy>דינה שפילר</cp:lastModifiedBy>
  <cp:revision>3</cp:revision>
  <cp:lastPrinted>2025-01-30T11:17:00Z</cp:lastPrinted>
  <dcterms:created xsi:type="dcterms:W3CDTF">2025-03-17T10:25:00Z</dcterms:created>
  <dcterms:modified xsi:type="dcterms:W3CDTF">2025-03-17T10:25:00Z</dcterms:modified>
</cp:coreProperties>
</file>